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BAAF0" w14:textId="21DC5E5E" w:rsidR="00D4329F" w:rsidRPr="00060C5C" w:rsidRDefault="00D4329F" w:rsidP="00D4329F">
      <w:pPr>
        <w:shd w:val="clear" w:color="auto" w:fill="FFFFFF"/>
        <w:jc w:val="right"/>
        <w:rPr>
          <w:rFonts w:ascii="Poppins" w:hAnsi="Poppins" w:cs="Poppins"/>
          <w:sz w:val="18"/>
          <w:szCs w:val="18"/>
        </w:rPr>
      </w:pPr>
      <w:r w:rsidRPr="00060C5C">
        <w:rPr>
          <w:rFonts w:ascii="Poppins" w:hAnsi="Poppins" w:cs="Poppins"/>
          <w:sz w:val="18"/>
          <w:szCs w:val="18"/>
        </w:rPr>
        <w:t>zał</w:t>
      </w:r>
      <w:r w:rsidRPr="00060C5C">
        <w:rPr>
          <w:rFonts w:ascii="Poppins" w:eastAsia="TimesNewRoman" w:hAnsi="Poppins" w:cs="Poppins"/>
          <w:sz w:val="18"/>
          <w:szCs w:val="18"/>
        </w:rPr>
        <w:t>ą</w:t>
      </w:r>
      <w:r w:rsidRPr="00060C5C">
        <w:rPr>
          <w:rFonts w:ascii="Poppins" w:hAnsi="Poppins" w:cs="Poppins"/>
          <w:sz w:val="18"/>
          <w:szCs w:val="18"/>
        </w:rPr>
        <w:t xml:space="preserve">cznik nr </w:t>
      </w:r>
      <w:r w:rsidR="00A71B15" w:rsidRPr="00060C5C">
        <w:rPr>
          <w:rFonts w:ascii="Poppins" w:hAnsi="Poppins" w:cs="Poppins"/>
          <w:sz w:val="18"/>
          <w:szCs w:val="18"/>
        </w:rPr>
        <w:t>1</w:t>
      </w:r>
    </w:p>
    <w:p w14:paraId="78DFAEDB" w14:textId="41A0DA32" w:rsidR="0064636A" w:rsidRPr="0064636A" w:rsidRDefault="00D4329F" w:rsidP="0064636A">
      <w:pPr>
        <w:spacing w:line="360" w:lineRule="auto"/>
        <w:jc w:val="both"/>
        <w:rPr>
          <w:rFonts w:ascii="Poppins" w:hAnsi="Poppins" w:cs="Poppins"/>
          <w:sz w:val="18"/>
          <w:szCs w:val="18"/>
        </w:rPr>
      </w:pPr>
      <w:r w:rsidRPr="00060C5C">
        <w:rPr>
          <w:rFonts w:ascii="Poppins" w:hAnsi="Poppins" w:cs="Poppins"/>
          <w:b/>
          <w:bCs/>
          <w:sz w:val="18"/>
          <w:szCs w:val="18"/>
        </w:rPr>
        <w:t>Regulamin zapytania ofertowego dotycząceg</w:t>
      </w:r>
      <w:r w:rsidR="00B61D0B" w:rsidRPr="00060C5C">
        <w:rPr>
          <w:rFonts w:ascii="Poppins" w:hAnsi="Poppins" w:cs="Poppins"/>
          <w:b/>
          <w:bCs/>
          <w:sz w:val="18"/>
          <w:szCs w:val="18"/>
        </w:rPr>
        <w:t>o</w:t>
      </w:r>
      <w:r w:rsidR="00B61D0B" w:rsidRPr="00060C5C">
        <w:rPr>
          <w:rFonts w:ascii="Poppins" w:hAnsi="Poppins" w:cs="Poppins"/>
          <w:b/>
          <w:bCs/>
          <w:sz w:val="17"/>
          <w:szCs w:val="17"/>
        </w:rPr>
        <w:t xml:space="preserve"> </w:t>
      </w:r>
      <w:r w:rsidR="0064636A" w:rsidRPr="0064636A">
        <w:rPr>
          <w:rFonts w:ascii="Poppins" w:hAnsi="Poppins" w:cs="Poppins"/>
          <w:sz w:val="18"/>
          <w:szCs w:val="18"/>
        </w:rPr>
        <w:t xml:space="preserve">prac związanych z wykonaniem  </w:t>
      </w:r>
      <w:r w:rsidR="00145482">
        <w:rPr>
          <w:rFonts w:ascii="Poppins" w:hAnsi="Poppins" w:cs="Poppins"/>
          <w:sz w:val="18"/>
          <w:szCs w:val="18"/>
        </w:rPr>
        <w:t>wymiany pionu kanalizacyjnego w lokalach 2,4,6 i 7 w budynku mieszkalnym przy ul. Wawrzyniaka 52.</w:t>
      </w:r>
    </w:p>
    <w:p w14:paraId="1C5B3DF8" w14:textId="38440D9B" w:rsidR="00D4329F" w:rsidRPr="00D4329F" w:rsidRDefault="00D4329F" w:rsidP="0064636A">
      <w:pPr>
        <w:spacing w:line="360" w:lineRule="auto"/>
        <w:jc w:val="both"/>
        <w:rPr>
          <w:rFonts w:ascii="Poppins" w:hAnsi="Poppins" w:cs="Poppins"/>
          <w:bCs/>
          <w:sz w:val="18"/>
          <w:szCs w:val="18"/>
        </w:rPr>
      </w:pPr>
      <w:r w:rsidRPr="00D4329F">
        <w:rPr>
          <w:rFonts w:ascii="Poppins" w:hAnsi="Poppins" w:cs="Poppins"/>
          <w:bCs/>
          <w:sz w:val="18"/>
          <w:szCs w:val="18"/>
        </w:rPr>
        <w:t>W postępowaniu wykonawca może złożyć za pośrednictwem platformy zakupowej jedną ofertę sporządzoną w języku polskim.</w:t>
      </w:r>
    </w:p>
    <w:p w14:paraId="736505BE" w14:textId="2131633D" w:rsidR="00D4329F" w:rsidRPr="00D4329F" w:rsidRDefault="00D4329F" w:rsidP="00D4329F">
      <w:pPr>
        <w:pStyle w:val="Akapitzlist"/>
        <w:numPr>
          <w:ilvl w:val="0"/>
          <w:numId w:val="7"/>
        </w:numPr>
        <w:suppressAutoHyphens/>
        <w:spacing w:after="0" w:line="240" w:lineRule="auto"/>
        <w:contextualSpacing w:val="0"/>
        <w:jc w:val="both"/>
        <w:rPr>
          <w:rFonts w:ascii="Poppins" w:hAnsi="Poppins" w:cs="Poppins"/>
          <w:sz w:val="18"/>
          <w:szCs w:val="18"/>
        </w:rPr>
      </w:pPr>
      <w:r w:rsidRPr="00D4329F">
        <w:rPr>
          <w:rFonts w:ascii="Poppins" w:hAnsi="Poppins" w:cs="Poppins"/>
          <w:sz w:val="18"/>
          <w:szCs w:val="18"/>
        </w:rPr>
        <w:t xml:space="preserve">Wykonawca ponosi wszelkie skutki nieprawidłowego złożenia oferty, w tym w szczególności: </w:t>
      </w:r>
      <w:r>
        <w:rPr>
          <w:rFonts w:ascii="Poppins" w:hAnsi="Poppins" w:cs="Poppins"/>
          <w:sz w:val="18"/>
          <w:szCs w:val="18"/>
        </w:rPr>
        <w:br/>
      </w:r>
      <w:r w:rsidRPr="00D4329F">
        <w:rPr>
          <w:rFonts w:ascii="Poppins" w:hAnsi="Poppins" w:cs="Poppins"/>
          <w:sz w:val="18"/>
          <w:szCs w:val="18"/>
        </w:rPr>
        <w:t xml:space="preserve">w niewłaściwym postępowaniu na platformie zakupowej, w niewłaściwym miejscu </w:t>
      </w:r>
      <w:r>
        <w:rPr>
          <w:rFonts w:ascii="Poppins" w:hAnsi="Poppins" w:cs="Poppins"/>
          <w:sz w:val="18"/>
          <w:szCs w:val="18"/>
        </w:rPr>
        <w:br/>
      </w:r>
      <w:r w:rsidRPr="00D4329F">
        <w:rPr>
          <w:rFonts w:ascii="Poppins" w:hAnsi="Poppins" w:cs="Poppins"/>
          <w:sz w:val="18"/>
          <w:szCs w:val="18"/>
        </w:rPr>
        <w:t>na platformie zakupowej, w niewłaściwym terminie, itp.</w:t>
      </w:r>
    </w:p>
    <w:p w14:paraId="059A422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Oferta musi zawierać wszelkie dane umożliwiające weryfikację wykonawcy, jak również wszelkie załączniki i oświadczenia wymagane przez Zamawiającego w zapytaniu ofertowym.</w:t>
      </w:r>
    </w:p>
    <w:p w14:paraId="09E7F2CA"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dopuszcza się możliwości składania ofert wariantowych.</w:t>
      </w:r>
    </w:p>
    <w:p w14:paraId="2259DA1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Co do zasady, oferty niekompletne, nieumożliwiające zidentyfikowania wykonawcy podlegają odrzuceniu, chyba że Zamawiający postanowi inaczej.</w:t>
      </w:r>
    </w:p>
    <w:p w14:paraId="6C1092B9" w14:textId="7EB8ECFA"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Oferta niezgodna z opisem przedmiotu zamówienia wskazanym w zapytaniu ofertowym, </w:t>
      </w:r>
      <w:r>
        <w:rPr>
          <w:rFonts w:ascii="Poppins" w:hAnsi="Poppins" w:cs="Poppins"/>
          <w:bCs/>
          <w:sz w:val="18"/>
          <w:szCs w:val="18"/>
        </w:rPr>
        <w:br/>
      </w:r>
      <w:r w:rsidRPr="00D4329F">
        <w:rPr>
          <w:rFonts w:ascii="Poppins" w:hAnsi="Poppins" w:cs="Poppins"/>
          <w:bCs/>
          <w:sz w:val="18"/>
          <w:szCs w:val="18"/>
        </w:rPr>
        <w:t>z zastrzeżeniem ust. 21 i 22 poniżej, podlega odrzuceniu.</w:t>
      </w:r>
    </w:p>
    <w:p w14:paraId="52D9B266"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 odrzuceniu ofert Zamawiający poinformuje wykonawców, których oferty zostały odrzucone podając uzasadnienie, nie później niż wraz z informacją o wyborze oferty najkorzystniejszej.</w:t>
      </w:r>
    </w:p>
    <w:p w14:paraId="049DE22D"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Oferty złożone po terminie nie będą rozpatrywane.</w:t>
      </w:r>
    </w:p>
    <w:p w14:paraId="37FA9A23" w14:textId="3D4F170F"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Szczegółowej weryfikacji </w:t>
      </w:r>
      <w:r w:rsidR="005F72D8">
        <w:rPr>
          <w:rFonts w:ascii="Poppins" w:hAnsi="Poppins" w:cs="Poppins"/>
          <w:bCs/>
          <w:sz w:val="18"/>
          <w:szCs w:val="18"/>
        </w:rPr>
        <w:t>będzie podlegała najtańsza oferta</w:t>
      </w:r>
      <w:r w:rsidRPr="00D4329F">
        <w:rPr>
          <w:rFonts w:ascii="Poppins" w:hAnsi="Poppins" w:cs="Poppins"/>
          <w:bCs/>
          <w:sz w:val="18"/>
          <w:szCs w:val="18"/>
        </w:rPr>
        <w:t>.</w:t>
      </w:r>
    </w:p>
    <w:p w14:paraId="23F7F6A0" w14:textId="17684083"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Zamówienie zostanie udzielone Wykonawcy, którego oferta nie będzie podlegała odrzuceniu, a który zaoferuje najkorzystniejsze warunki zgodnie z kryteriami oceny ofert przewidzianymi </w:t>
      </w:r>
      <w:r>
        <w:rPr>
          <w:rFonts w:ascii="Poppins" w:hAnsi="Poppins" w:cs="Poppins"/>
          <w:bCs/>
          <w:sz w:val="18"/>
          <w:szCs w:val="18"/>
        </w:rPr>
        <w:br/>
      </w:r>
      <w:r w:rsidRPr="00D4329F">
        <w:rPr>
          <w:rFonts w:ascii="Poppins" w:hAnsi="Poppins" w:cs="Poppins"/>
          <w:bCs/>
          <w:sz w:val="18"/>
          <w:szCs w:val="18"/>
        </w:rPr>
        <w:t>w treści zaproszenia.</w:t>
      </w:r>
    </w:p>
    <w:p w14:paraId="7ABD1DA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możliwość negocjowania warunków oferty, w szczególności w sytuacji, gdy przekracza ona możliwości finansowe Zamawiającego (negocjuje pełnomocnik wspólnot). </w:t>
      </w:r>
    </w:p>
    <w:p w14:paraId="4427A573"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 xml:space="preserve">Negocjacje będą prowadzone na Platformie Zakupowej z wykorzystaniem dostępnych na niej trybów i narzędzi, </w:t>
      </w:r>
    </w:p>
    <w:p w14:paraId="40030A8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jest wyłącznie cena, negocjuje się ze wskazanymi przez Zamawiającego wykonawcami, nie mniej niż 2. Jeżeli liczba ofert jest mniejsza lub równa 2, negocjacje prowadzi się ze wszystkimi wykonawcami.</w:t>
      </w:r>
    </w:p>
    <w:p w14:paraId="4FB72658" w14:textId="48F3B91B"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są inne niż cena istotne warunki realizacji zamówienia,</w:t>
      </w:r>
      <w:r>
        <w:rPr>
          <w:rFonts w:ascii="Poppins" w:hAnsi="Poppins" w:cs="Poppins"/>
          <w:bCs/>
          <w:sz w:val="18"/>
          <w:szCs w:val="18"/>
        </w:rPr>
        <w:br/>
      </w:r>
      <w:r w:rsidRPr="00D4329F">
        <w:rPr>
          <w:rFonts w:ascii="Poppins" w:hAnsi="Poppins" w:cs="Poppins"/>
          <w:bCs/>
          <w:sz w:val="18"/>
          <w:szCs w:val="18"/>
        </w:rPr>
        <w:t xml:space="preserve"> w szczególności: zakres zamówienia, warunki płatności, termin wykonania – negocjuje się </w:t>
      </w:r>
      <w:r>
        <w:rPr>
          <w:rFonts w:ascii="Poppins" w:hAnsi="Poppins" w:cs="Poppins"/>
          <w:bCs/>
          <w:sz w:val="18"/>
          <w:szCs w:val="18"/>
        </w:rPr>
        <w:br/>
      </w:r>
      <w:r w:rsidRPr="00D4329F">
        <w:rPr>
          <w:rFonts w:ascii="Poppins" w:hAnsi="Poppins" w:cs="Poppins"/>
          <w:bCs/>
          <w:sz w:val="18"/>
          <w:szCs w:val="18"/>
        </w:rPr>
        <w:t xml:space="preserve">ze wszystkimi wykonawcami, którzy złożyli oferty. Ewentualne zmiany w tym zakresie </w:t>
      </w:r>
      <w:r>
        <w:rPr>
          <w:rFonts w:ascii="Poppins" w:hAnsi="Poppins" w:cs="Poppins"/>
          <w:bCs/>
          <w:sz w:val="18"/>
          <w:szCs w:val="18"/>
        </w:rPr>
        <w:br/>
      </w:r>
      <w:r w:rsidRPr="00D4329F">
        <w:rPr>
          <w:rFonts w:ascii="Poppins" w:hAnsi="Poppins" w:cs="Poppins"/>
          <w:bCs/>
          <w:sz w:val="18"/>
          <w:szCs w:val="18"/>
        </w:rPr>
        <w:t>w odniesieniu do pierwotnych warunków wymagają akceptacji Zamawiającego.</w:t>
      </w:r>
    </w:p>
    <w:p w14:paraId="4046E73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Prowadzone negocjacje maja charakter poufny.</w:t>
      </w:r>
    </w:p>
    <w:p w14:paraId="7B22173A" w14:textId="49111F38"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Negocjacje prowadzone za pomocą platformy zakupowej dokumentuje się za pomocą generowanych raportów lub historii korespondencji. Z negocjacji prowadzonych bezpośrednio sporządza się protokół w formie pisemnej. Wskazana dokumentacja </w:t>
      </w:r>
      <w:r>
        <w:rPr>
          <w:rFonts w:ascii="Poppins" w:hAnsi="Poppins" w:cs="Poppins"/>
          <w:bCs/>
          <w:sz w:val="18"/>
          <w:szCs w:val="18"/>
        </w:rPr>
        <w:br/>
      </w:r>
      <w:r w:rsidRPr="00D4329F">
        <w:rPr>
          <w:rFonts w:ascii="Poppins" w:hAnsi="Poppins" w:cs="Poppins"/>
          <w:bCs/>
          <w:sz w:val="18"/>
          <w:szCs w:val="18"/>
        </w:rPr>
        <w:t>z negocjacji stanowi załącznik do umowy.</w:t>
      </w:r>
    </w:p>
    <w:p w14:paraId="65E206E0" w14:textId="30E77C1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przesunięcie terminu składania ofert, w sytuacji braku ofert na co najmniej </w:t>
      </w:r>
      <w:r>
        <w:rPr>
          <w:rFonts w:ascii="Poppins" w:hAnsi="Poppins" w:cs="Poppins"/>
          <w:bCs/>
          <w:sz w:val="18"/>
          <w:szCs w:val="18"/>
        </w:rPr>
        <w:br/>
      </w:r>
      <w:r w:rsidRPr="00D4329F">
        <w:rPr>
          <w:rFonts w:ascii="Poppins" w:hAnsi="Poppins" w:cs="Poppins"/>
          <w:bCs/>
          <w:sz w:val="18"/>
          <w:szCs w:val="18"/>
        </w:rPr>
        <w:t xml:space="preserve">20 minut przed upływem uprzednio wyznaczonego. </w:t>
      </w:r>
    </w:p>
    <w:p w14:paraId="2B2EB47D"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Niezwłocznie po otwarciu ofert Zamawiający  udostępni wykonawcom, którzy złożyli oferty, na platformie zakupowej informację z otwarcia ofert zawierającą min. nazwy i adresy wykonawców oraz oferowane ceny.</w:t>
      </w:r>
    </w:p>
    <w:p w14:paraId="39CEF594"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W sytuacji, gdy cena jest jedynym kryterium oceny ofert, jeżeli nie będzie można wybrać oferty ze względu na fakt, że kilka ofert zostanie złożonych z tą samą ceną, Zamawiający może </w:t>
      </w:r>
      <w:r w:rsidRPr="00D4329F">
        <w:rPr>
          <w:rFonts w:ascii="Poppins" w:hAnsi="Poppins" w:cs="Poppins"/>
          <w:bCs/>
          <w:sz w:val="18"/>
          <w:szCs w:val="18"/>
        </w:rPr>
        <w:lastRenderedPageBreak/>
        <w:t>wezwać wykonawców do złożenia ofert dodatkowych lub przeprowadzić z nimi negocjacje. Do negocjacji mają zastosowanie postanowienia pkt 12-15 powyżej.</w:t>
      </w:r>
    </w:p>
    <w:p w14:paraId="53B00442"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dopuszcza możliwość zmiany kryteriów oceny po uzyskaniu ofert. Decyzję w tym zakresie podejmie Zamawiający, Wykonawcy zostaną o tym fakcie poinformowani, a w razie potrzeby zostaną wezwani do złożenia dodatkowych oświadczeń lub dokumentów, jak również o innych warunkach, co do których właściciele przewidują szczególny sposób postępowania.</w:t>
      </w:r>
    </w:p>
    <w:p w14:paraId="22A03B7C"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oczywiste omyłki pisarskie i oczywiste omyłki rachunkowe.</w:t>
      </w:r>
    </w:p>
    <w:p w14:paraId="7816BFE9"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inne omyłki polegające na niezgodności treści oferty z treścią zaproszenia za zgodą wykonawcy uzyskaną najpóźniej przed podpisaniem umowy.</w:t>
      </w:r>
    </w:p>
    <w:p w14:paraId="1BCD52DF"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2EF0E6F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później niż w terminie dwóch tygodni od wyboru wykonawcy zostanie przygotowana i podpisana umowa z wykonawcą.</w:t>
      </w:r>
    </w:p>
    <w:p w14:paraId="6ADA57AB" w14:textId="5A301D7E"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t>
      </w:r>
      <w:r w:rsidR="00E00B63">
        <w:rPr>
          <w:rFonts w:ascii="Poppins" w:hAnsi="Poppins" w:cs="Poppins"/>
          <w:bCs/>
          <w:sz w:val="18"/>
          <w:szCs w:val="18"/>
        </w:rPr>
        <w:t>Zamawiającego</w:t>
      </w:r>
      <w:r w:rsidRPr="00D4329F">
        <w:rPr>
          <w:rFonts w:ascii="Poppins" w:hAnsi="Poppins" w:cs="Poppins"/>
          <w:bCs/>
          <w:sz w:val="18"/>
          <w:szCs w:val="18"/>
        </w:rPr>
        <w:t>. W przeciwnym wypadku zostanie przeprowadzone nowe postępowanie.</w:t>
      </w:r>
    </w:p>
    <w:p w14:paraId="55621A34" w14:textId="77777777" w:rsid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może unieważnić postępowanie w każdym czasie bez podania przyczyn, bądź z ich podaniem, w szczególności w przypadku kiedy najkorzystniejsza oferta będzie wyższa od możliwości finansowych Zamawiającego.</w:t>
      </w:r>
    </w:p>
    <w:p w14:paraId="3F95CF35" w14:textId="708B073F" w:rsidR="00A71B15" w:rsidRPr="00A71B15" w:rsidRDefault="00A71B15" w:rsidP="00D4329F">
      <w:pPr>
        <w:numPr>
          <w:ilvl w:val="0"/>
          <w:numId w:val="7"/>
        </w:numPr>
        <w:adjustRightInd w:val="0"/>
        <w:spacing w:after="0" w:line="240" w:lineRule="auto"/>
        <w:jc w:val="both"/>
        <w:rPr>
          <w:rFonts w:ascii="Poppins" w:hAnsi="Poppins" w:cs="Poppins"/>
          <w:bCs/>
          <w:color w:val="EE0000"/>
          <w:sz w:val="18"/>
          <w:szCs w:val="18"/>
          <w:u w:val="single"/>
        </w:rPr>
      </w:pPr>
      <w:r w:rsidRPr="00A71B15">
        <w:rPr>
          <w:rFonts w:ascii="Poppins" w:hAnsi="Poppins" w:cs="Poppins"/>
          <w:bCs/>
          <w:color w:val="EE0000"/>
          <w:sz w:val="18"/>
          <w:szCs w:val="18"/>
          <w:u w:val="single"/>
        </w:rPr>
        <w:t>Podpisanie umowy do 7 dni od powiadomienia e-mailowego wykonawcy o powstałej umowie. W przypadku nie podpisania umowy w terminie umowa zostanie podpisana</w:t>
      </w:r>
      <w:r>
        <w:rPr>
          <w:rFonts w:ascii="Poppins" w:hAnsi="Poppins" w:cs="Poppins"/>
          <w:bCs/>
          <w:color w:val="EE0000"/>
          <w:sz w:val="18"/>
          <w:szCs w:val="18"/>
          <w:u w:val="single"/>
        </w:rPr>
        <w:t xml:space="preserve">                     </w:t>
      </w:r>
      <w:r w:rsidRPr="00A71B15">
        <w:rPr>
          <w:rFonts w:ascii="Poppins" w:hAnsi="Poppins" w:cs="Poppins"/>
          <w:bCs/>
          <w:color w:val="EE0000"/>
          <w:sz w:val="18"/>
          <w:szCs w:val="18"/>
          <w:u w:val="single"/>
        </w:rPr>
        <w:t xml:space="preserve"> z kolejnym oferentem.</w:t>
      </w:r>
    </w:p>
    <w:p w14:paraId="55797E52" w14:textId="40D8C352" w:rsidR="00A71B15" w:rsidRPr="00A71B15" w:rsidRDefault="00A71B15" w:rsidP="00D4329F">
      <w:pPr>
        <w:numPr>
          <w:ilvl w:val="0"/>
          <w:numId w:val="7"/>
        </w:numPr>
        <w:adjustRightInd w:val="0"/>
        <w:spacing w:after="0" w:line="240" w:lineRule="auto"/>
        <w:jc w:val="both"/>
        <w:rPr>
          <w:rFonts w:ascii="Poppins" w:hAnsi="Poppins" w:cs="Poppins"/>
          <w:bCs/>
          <w:color w:val="EE0000"/>
          <w:sz w:val="18"/>
          <w:szCs w:val="18"/>
          <w:u w:val="single"/>
        </w:rPr>
      </w:pPr>
      <w:r w:rsidRPr="00A71B15">
        <w:rPr>
          <w:rFonts w:ascii="Poppins" w:hAnsi="Poppins" w:cs="Poppins"/>
          <w:bCs/>
          <w:color w:val="EE0000"/>
          <w:sz w:val="18"/>
          <w:szCs w:val="18"/>
          <w:u w:val="single"/>
        </w:rPr>
        <w:t>Termin wykonania projektu z audytem do 30 dni od dnia podpisania umowy.</w:t>
      </w:r>
    </w:p>
    <w:p w14:paraId="2F942A10" w14:textId="77777777" w:rsidR="00D4329F" w:rsidRPr="00D4329F" w:rsidRDefault="00D4329F" w:rsidP="00D4329F">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Uczestnikom postępowania nie przysługuje prawo do składania jakichkolwiek odwołań.</w:t>
      </w:r>
    </w:p>
    <w:p w14:paraId="621E743D" w14:textId="77777777" w:rsidR="00D4329F" w:rsidRDefault="00D4329F" w:rsidP="00D4329F">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 xml:space="preserve"> Zamawiający przewiduje również możliwość zmiany lub odwołania warunków zapytania, stosownie do art. 70</w:t>
      </w:r>
      <w:r w:rsidRPr="00D4329F">
        <w:rPr>
          <w:rFonts w:ascii="Poppins" w:hAnsi="Poppins" w:cs="Poppins"/>
          <w:b/>
          <w:sz w:val="18"/>
          <w:szCs w:val="18"/>
          <w:vertAlign w:val="superscript"/>
        </w:rPr>
        <w:t>1</w:t>
      </w:r>
      <w:r w:rsidRPr="00D4329F">
        <w:rPr>
          <w:rFonts w:ascii="Poppins" w:hAnsi="Poppins" w:cs="Poppins"/>
          <w:b/>
          <w:sz w:val="18"/>
          <w:szCs w:val="18"/>
        </w:rPr>
        <w:t xml:space="preserve"> Kodeksu Cywilnego.</w:t>
      </w:r>
    </w:p>
    <w:p w14:paraId="6DEDFD84" w14:textId="77777777" w:rsidR="008874B0" w:rsidRDefault="008874B0" w:rsidP="008874B0">
      <w:pPr>
        <w:adjustRightInd w:val="0"/>
        <w:spacing w:after="0" w:line="240" w:lineRule="auto"/>
        <w:jc w:val="both"/>
        <w:rPr>
          <w:rFonts w:ascii="Poppins" w:hAnsi="Poppins" w:cs="Poppins"/>
          <w:b/>
          <w:sz w:val="18"/>
          <w:szCs w:val="18"/>
        </w:rPr>
      </w:pPr>
    </w:p>
    <w:tbl>
      <w:tblPr>
        <w:tblW w:w="100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2"/>
        <w:gridCol w:w="2519"/>
        <w:gridCol w:w="851"/>
        <w:gridCol w:w="992"/>
        <w:gridCol w:w="1559"/>
        <w:gridCol w:w="1843"/>
        <w:gridCol w:w="1843"/>
      </w:tblGrid>
      <w:tr w:rsidR="00145482" w:rsidRPr="00B1399D" w14:paraId="0A5E0E47" w14:textId="77777777" w:rsidTr="009D6CB1">
        <w:trPr>
          <w:cantSplit/>
          <w:trHeight w:val="698"/>
        </w:trPr>
        <w:tc>
          <w:tcPr>
            <w:tcW w:w="462" w:type="dxa"/>
            <w:vAlign w:val="center"/>
          </w:tcPr>
          <w:p w14:paraId="2E51E572"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Lp.</w:t>
            </w:r>
          </w:p>
        </w:tc>
        <w:tc>
          <w:tcPr>
            <w:tcW w:w="2519" w:type="dxa"/>
            <w:vAlign w:val="center"/>
          </w:tcPr>
          <w:p w14:paraId="16DC1E4F"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Nazwisko i imię</w:t>
            </w:r>
          </w:p>
        </w:tc>
        <w:tc>
          <w:tcPr>
            <w:tcW w:w="851" w:type="dxa"/>
            <w:vAlign w:val="center"/>
          </w:tcPr>
          <w:p w14:paraId="158372A7"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Nr lokalu</w:t>
            </w:r>
          </w:p>
        </w:tc>
        <w:tc>
          <w:tcPr>
            <w:tcW w:w="992" w:type="dxa"/>
            <w:vAlign w:val="center"/>
          </w:tcPr>
          <w:p w14:paraId="6ED21BC0"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Udział %</w:t>
            </w:r>
          </w:p>
        </w:tc>
        <w:tc>
          <w:tcPr>
            <w:tcW w:w="1559" w:type="dxa"/>
            <w:vAlign w:val="center"/>
          </w:tcPr>
          <w:p w14:paraId="0D7F7F9A"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Podpis</w:t>
            </w:r>
          </w:p>
          <w:p w14:paraId="6F4EEB51"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„za”</w:t>
            </w:r>
          </w:p>
        </w:tc>
        <w:tc>
          <w:tcPr>
            <w:tcW w:w="1843" w:type="dxa"/>
            <w:vAlign w:val="center"/>
          </w:tcPr>
          <w:p w14:paraId="41A6815B"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Podpis</w:t>
            </w:r>
          </w:p>
          <w:p w14:paraId="2BBD4E83"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„przeciw”</w:t>
            </w:r>
          </w:p>
        </w:tc>
        <w:tc>
          <w:tcPr>
            <w:tcW w:w="1843" w:type="dxa"/>
            <w:vAlign w:val="center"/>
          </w:tcPr>
          <w:p w14:paraId="1879B1E3"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Podpis</w:t>
            </w:r>
          </w:p>
          <w:p w14:paraId="0FAA1115" w14:textId="77777777" w:rsidR="00145482" w:rsidRPr="00B1399D" w:rsidRDefault="00145482" w:rsidP="009D6CB1">
            <w:pPr>
              <w:spacing w:line="276" w:lineRule="auto"/>
              <w:jc w:val="center"/>
              <w:rPr>
                <w:rFonts w:ascii="Poppins" w:hAnsi="Poppins" w:cs="Poppins"/>
                <w:color w:val="000000"/>
                <w:sz w:val="18"/>
                <w:szCs w:val="18"/>
              </w:rPr>
            </w:pPr>
            <w:r w:rsidRPr="00B1399D">
              <w:rPr>
                <w:rFonts w:ascii="Poppins" w:hAnsi="Poppins" w:cs="Poppins"/>
                <w:color w:val="000000"/>
                <w:sz w:val="18"/>
                <w:szCs w:val="18"/>
              </w:rPr>
              <w:t>„wstrzymał się”</w:t>
            </w:r>
          </w:p>
        </w:tc>
      </w:tr>
      <w:tr w:rsidR="00145482" w:rsidRPr="00B1399D" w14:paraId="12E512BD" w14:textId="77777777" w:rsidTr="009D6CB1">
        <w:trPr>
          <w:cantSplit/>
          <w:trHeight w:val="599"/>
        </w:trPr>
        <w:tc>
          <w:tcPr>
            <w:tcW w:w="462" w:type="dxa"/>
            <w:tcBorders>
              <w:top w:val="single" w:sz="4" w:space="0" w:color="auto"/>
              <w:left w:val="single" w:sz="4" w:space="0" w:color="auto"/>
              <w:bottom w:val="single" w:sz="4" w:space="0" w:color="auto"/>
              <w:right w:val="single" w:sz="4" w:space="0" w:color="auto"/>
            </w:tcBorders>
          </w:tcPr>
          <w:p w14:paraId="55565D62"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1</w:t>
            </w:r>
          </w:p>
        </w:tc>
        <w:tc>
          <w:tcPr>
            <w:tcW w:w="2519" w:type="dxa"/>
            <w:tcBorders>
              <w:top w:val="single" w:sz="4" w:space="0" w:color="auto"/>
              <w:left w:val="single" w:sz="4" w:space="0" w:color="auto"/>
              <w:bottom w:val="single" w:sz="4" w:space="0" w:color="auto"/>
              <w:right w:val="single" w:sz="4" w:space="0" w:color="auto"/>
            </w:tcBorders>
          </w:tcPr>
          <w:p w14:paraId="6D495D27" w14:textId="77777777" w:rsidR="00145482" w:rsidRPr="00B1399D" w:rsidRDefault="00145482" w:rsidP="009D6CB1">
            <w:pPr>
              <w:spacing w:before="120"/>
              <w:rPr>
                <w:rFonts w:ascii="Poppins" w:hAnsi="Poppins" w:cs="Poppins"/>
                <w:color w:val="000000"/>
                <w:sz w:val="18"/>
                <w:szCs w:val="18"/>
              </w:rPr>
            </w:pPr>
            <w:r w:rsidRPr="00B1399D">
              <w:rPr>
                <w:rFonts w:ascii="Poppins" w:hAnsi="Poppins" w:cs="Poppins"/>
                <w:color w:val="000000"/>
                <w:sz w:val="18"/>
                <w:szCs w:val="18"/>
              </w:rPr>
              <w:t>Anna Piekarz- Brudzińska</w:t>
            </w:r>
          </w:p>
        </w:tc>
        <w:tc>
          <w:tcPr>
            <w:tcW w:w="851" w:type="dxa"/>
            <w:tcBorders>
              <w:top w:val="single" w:sz="4" w:space="0" w:color="auto"/>
              <w:left w:val="single" w:sz="4" w:space="0" w:color="auto"/>
              <w:bottom w:val="single" w:sz="4" w:space="0" w:color="auto"/>
              <w:right w:val="single" w:sz="4" w:space="0" w:color="auto"/>
            </w:tcBorders>
            <w:vAlign w:val="center"/>
          </w:tcPr>
          <w:p w14:paraId="3287983B"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16E7DB0A"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16,67</w:t>
            </w:r>
          </w:p>
        </w:tc>
        <w:tc>
          <w:tcPr>
            <w:tcW w:w="1559" w:type="dxa"/>
            <w:vAlign w:val="center"/>
          </w:tcPr>
          <w:p w14:paraId="57CACCAC"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1A1ACB9D"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1101F372" w14:textId="77777777" w:rsidR="00145482" w:rsidRPr="00B1399D" w:rsidRDefault="00145482" w:rsidP="009D6CB1">
            <w:pPr>
              <w:spacing w:line="276" w:lineRule="auto"/>
              <w:jc w:val="center"/>
              <w:rPr>
                <w:rFonts w:ascii="Poppins" w:hAnsi="Poppins" w:cs="Poppins"/>
                <w:color w:val="000000"/>
                <w:sz w:val="18"/>
                <w:szCs w:val="18"/>
              </w:rPr>
            </w:pPr>
          </w:p>
        </w:tc>
      </w:tr>
      <w:tr w:rsidR="00145482" w:rsidRPr="00B1399D" w14:paraId="299E55B2" w14:textId="77777777" w:rsidTr="009D6CB1">
        <w:trPr>
          <w:cantSplit/>
          <w:trHeight w:val="551"/>
        </w:trPr>
        <w:tc>
          <w:tcPr>
            <w:tcW w:w="462" w:type="dxa"/>
            <w:tcBorders>
              <w:top w:val="single" w:sz="4" w:space="0" w:color="auto"/>
              <w:left w:val="single" w:sz="4" w:space="0" w:color="auto"/>
              <w:bottom w:val="single" w:sz="4" w:space="0" w:color="auto"/>
              <w:right w:val="single" w:sz="4" w:space="0" w:color="auto"/>
            </w:tcBorders>
          </w:tcPr>
          <w:p w14:paraId="790CAA95"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2</w:t>
            </w:r>
          </w:p>
        </w:tc>
        <w:tc>
          <w:tcPr>
            <w:tcW w:w="2519" w:type="dxa"/>
            <w:tcBorders>
              <w:top w:val="single" w:sz="4" w:space="0" w:color="auto"/>
              <w:left w:val="single" w:sz="4" w:space="0" w:color="auto"/>
              <w:bottom w:val="single" w:sz="4" w:space="0" w:color="auto"/>
              <w:right w:val="single" w:sz="4" w:space="0" w:color="auto"/>
            </w:tcBorders>
          </w:tcPr>
          <w:p w14:paraId="75F912BB" w14:textId="77777777" w:rsidR="00145482" w:rsidRPr="00B1399D" w:rsidRDefault="00145482" w:rsidP="009D6CB1">
            <w:pPr>
              <w:spacing w:before="120"/>
              <w:rPr>
                <w:rFonts w:ascii="Poppins" w:hAnsi="Poppins" w:cs="Poppins"/>
                <w:color w:val="000000"/>
                <w:sz w:val="18"/>
                <w:szCs w:val="18"/>
              </w:rPr>
            </w:pPr>
            <w:proofErr w:type="spellStart"/>
            <w:r w:rsidRPr="00B1399D">
              <w:rPr>
                <w:rFonts w:ascii="Poppins" w:hAnsi="Poppins" w:cs="Poppins"/>
                <w:color w:val="000000"/>
                <w:sz w:val="18"/>
                <w:szCs w:val="18"/>
              </w:rPr>
              <w:t>Cisiuk</w:t>
            </w:r>
            <w:proofErr w:type="spellEnd"/>
            <w:r w:rsidRPr="00B1399D">
              <w:rPr>
                <w:rFonts w:ascii="Poppins" w:hAnsi="Poppins" w:cs="Poppins"/>
                <w:color w:val="000000"/>
                <w:sz w:val="18"/>
                <w:szCs w:val="18"/>
              </w:rPr>
              <w:t>, Adam Małgorzata</w:t>
            </w:r>
          </w:p>
        </w:tc>
        <w:tc>
          <w:tcPr>
            <w:tcW w:w="851" w:type="dxa"/>
            <w:tcBorders>
              <w:top w:val="single" w:sz="4" w:space="0" w:color="auto"/>
              <w:left w:val="single" w:sz="4" w:space="0" w:color="auto"/>
              <w:bottom w:val="single" w:sz="4" w:space="0" w:color="auto"/>
              <w:right w:val="single" w:sz="4" w:space="0" w:color="auto"/>
            </w:tcBorders>
            <w:vAlign w:val="center"/>
          </w:tcPr>
          <w:p w14:paraId="6F5092D5"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011DDBCF"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11,40</w:t>
            </w:r>
          </w:p>
        </w:tc>
        <w:tc>
          <w:tcPr>
            <w:tcW w:w="1559" w:type="dxa"/>
            <w:vAlign w:val="center"/>
          </w:tcPr>
          <w:p w14:paraId="7186535C"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4938F558"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29291F31" w14:textId="77777777" w:rsidR="00145482" w:rsidRPr="00B1399D" w:rsidRDefault="00145482" w:rsidP="009D6CB1">
            <w:pPr>
              <w:spacing w:line="276" w:lineRule="auto"/>
              <w:jc w:val="center"/>
              <w:rPr>
                <w:rFonts w:ascii="Poppins" w:hAnsi="Poppins" w:cs="Poppins"/>
                <w:color w:val="000000"/>
                <w:sz w:val="18"/>
                <w:szCs w:val="18"/>
              </w:rPr>
            </w:pPr>
          </w:p>
        </w:tc>
      </w:tr>
      <w:tr w:rsidR="00145482" w:rsidRPr="00B1399D" w14:paraId="5D20CF5B" w14:textId="77777777" w:rsidTr="009D6CB1">
        <w:trPr>
          <w:cantSplit/>
          <w:trHeight w:val="715"/>
        </w:trPr>
        <w:tc>
          <w:tcPr>
            <w:tcW w:w="462" w:type="dxa"/>
            <w:tcBorders>
              <w:top w:val="single" w:sz="4" w:space="0" w:color="auto"/>
              <w:left w:val="single" w:sz="4" w:space="0" w:color="auto"/>
              <w:bottom w:val="single" w:sz="4" w:space="0" w:color="auto"/>
              <w:right w:val="single" w:sz="4" w:space="0" w:color="auto"/>
            </w:tcBorders>
          </w:tcPr>
          <w:p w14:paraId="3A4A5EAA"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3</w:t>
            </w:r>
          </w:p>
        </w:tc>
        <w:tc>
          <w:tcPr>
            <w:tcW w:w="2519" w:type="dxa"/>
            <w:tcBorders>
              <w:top w:val="single" w:sz="4" w:space="0" w:color="auto"/>
              <w:left w:val="single" w:sz="4" w:space="0" w:color="auto"/>
              <w:bottom w:val="single" w:sz="4" w:space="0" w:color="auto"/>
              <w:right w:val="single" w:sz="4" w:space="0" w:color="auto"/>
            </w:tcBorders>
          </w:tcPr>
          <w:p w14:paraId="521E60CB" w14:textId="77777777" w:rsidR="00145482" w:rsidRPr="00B1399D" w:rsidRDefault="00145482" w:rsidP="009D6CB1">
            <w:pPr>
              <w:spacing w:before="120"/>
              <w:rPr>
                <w:rFonts w:ascii="Poppins" w:hAnsi="Poppins" w:cs="Poppins"/>
                <w:color w:val="000000"/>
                <w:sz w:val="18"/>
                <w:szCs w:val="18"/>
              </w:rPr>
            </w:pPr>
            <w:r w:rsidRPr="00B1399D">
              <w:rPr>
                <w:rFonts w:ascii="Poppins" w:hAnsi="Poppins" w:cs="Poppins"/>
                <w:color w:val="000000"/>
                <w:sz w:val="18"/>
                <w:szCs w:val="18"/>
              </w:rPr>
              <w:t>Kwiatkowska Jadwiga</w:t>
            </w:r>
          </w:p>
        </w:tc>
        <w:tc>
          <w:tcPr>
            <w:tcW w:w="851" w:type="dxa"/>
            <w:tcBorders>
              <w:top w:val="single" w:sz="4" w:space="0" w:color="auto"/>
              <w:left w:val="single" w:sz="4" w:space="0" w:color="auto"/>
              <w:bottom w:val="single" w:sz="4" w:space="0" w:color="auto"/>
              <w:right w:val="single" w:sz="4" w:space="0" w:color="auto"/>
            </w:tcBorders>
            <w:vAlign w:val="center"/>
          </w:tcPr>
          <w:p w14:paraId="72743F0F"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70A41131"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11,40</w:t>
            </w:r>
          </w:p>
        </w:tc>
        <w:tc>
          <w:tcPr>
            <w:tcW w:w="1559" w:type="dxa"/>
            <w:vAlign w:val="center"/>
          </w:tcPr>
          <w:p w14:paraId="6134709F"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33D16C4A"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04341546" w14:textId="77777777" w:rsidR="00145482" w:rsidRPr="00B1399D" w:rsidRDefault="00145482" w:rsidP="009D6CB1">
            <w:pPr>
              <w:spacing w:line="276" w:lineRule="auto"/>
              <w:jc w:val="center"/>
              <w:rPr>
                <w:rFonts w:ascii="Poppins" w:hAnsi="Poppins" w:cs="Poppins"/>
                <w:color w:val="000000"/>
                <w:sz w:val="18"/>
                <w:szCs w:val="18"/>
              </w:rPr>
            </w:pPr>
          </w:p>
        </w:tc>
      </w:tr>
      <w:tr w:rsidR="00145482" w:rsidRPr="00B1399D" w14:paraId="061C0235" w14:textId="77777777" w:rsidTr="009D6CB1">
        <w:trPr>
          <w:cantSplit/>
          <w:trHeight w:val="669"/>
        </w:trPr>
        <w:tc>
          <w:tcPr>
            <w:tcW w:w="462" w:type="dxa"/>
            <w:tcBorders>
              <w:top w:val="single" w:sz="4" w:space="0" w:color="auto"/>
              <w:left w:val="single" w:sz="4" w:space="0" w:color="auto"/>
              <w:bottom w:val="single" w:sz="4" w:space="0" w:color="auto"/>
              <w:right w:val="single" w:sz="4" w:space="0" w:color="auto"/>
            </w:tcBorders>
          </w:tcPr>
          <w:p w14:paraId="4EBFC759"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4</w:t>
            </w:r>
          </w:p>
        </w:tc>
        <w:tc>
          <w:tcPr>
            <w:tcW w:w="2519" w:type="dxa"/>
            <w:tcBorders>
              <w:top w:val="single" w:sz="4" w:space="0" w:color="auto"/>
              <w:left w:val="single" w:sz="4" w:space="0" w:color="auto"/>
              <w:bottom w:val="single" w:sz="4" w:space="0" w:color="auto"/>
              <w:right w:val="single" w:sz="4" w:space="0" w:color="auto"/>
            </w:tcBorders>
          </w:tcPr>
          <w:p w14:paraId="2E4F93C0" w14:textId="77777777" w:rsidR="00145482" w:rsidRPr="00B1399D" w:rsidRDefault="00145482" w:rsidP="009D6CB1">
            <w:pPr>
              <w:spacing w:before="120"/>
              <w:rPr>
                <w:rFonts w:ascii="Poppins" w:hAnsi="Poppins" w:cs="Poppins"/>
                <w:color w:val="000000"/>
                <w:sz w:val="18"/>
                <w:szCs w:val="18"/>
              </w:rPr>
            </w:pPr>
            <w:r w:rsidRPr="00B1399D">
              <w:rPr>
                <w:rFonts w:ascii="Poppins" w:hAnsi="Poppins" w:cs="Poppins"/>
                <w:color w:val="000000"/>
                <w:sz w:val="18"/>
                <w:szCs w:val="18"/>
              </w:rPr>
              <w:t>Wiktorski Rafał, Jadwiga</w:t>
            </w:r>
          </w:p>
        </w:tc>
        <w:tc>
          <w:tcPr>
            <w:tcW w:w="851" w:type="dxa"/>
            <w:tcBorders>
              <w:top w:val="single" w:sz="4" w:space="0" w:color="auto"/>
              <w:left w:val="single" w:sz="4" w:space="0" w:color="auto"/>
              <w:bottom w:val="single" w:sz="4" w:space="0" w:color="auto"/>
              <w:right w:val="single" w:sz="4" w:space="0" w:color="auto"/>
            </w:tcBorders>
            <w:vAlign w:val="center"/>
          </w:tcPr>
          <w:p w14:paraId="3DE3EE3D"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6C376A8E"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9,80</w:t>
            </w:r>
          </w:p>
        </w:tc>
        <w:tc>
          <w:tcPr>
            <w:tcW w:w="1559" w:type="dxa"/>
            <w:vAlign w:val="center"/>
          </w:tcPr>
          <w:p w14:paraId="24FFC5F8"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035A82A8"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4253060D" w14:textId="77777777" w:rsidR="00145482" w:rsidRPr="00B1399D" w:rsidRDefault="00145482" w:rsidP="009D6CB1">
            <w:pPr>
              <w:spacing w:line="276" w:lineRule="auto"/>
              <w:jc w:val="center"/>
              <w:rPr>
                <w:rFonts w:ascii="Poppins" w:hAnsi="Poppins" w:cs="Poppins"/>
                <w:color w:val="000000"/>
                <w:sz w:val="18"/>
                <w:szCs w:val="18"/>
              </w:rPr>
            </w:pPr>
          </w:p>
        </w:tc>
      </w:tr>
      <w:tr w:rsidR="00145482" w:rsidRPr="00B1399D" w14:paraId="712782A3" w14:textId="77777777" w:rsidTr="009D6CB1">
        <w:trPr>
          <w:cantSplit/>
          <w:trHeight w:val="669"/>
        </w:trPr>
        <w:tc>
          <w:tcPr>
            <w:tcW w:w="462" w:type="dxa"/>
            <w:tcBorders>
              <w:top w:val="single" w:sz="4" w:space="0" w:color="auto"/>
              <w:left w:val="single" w:sz="4" w:space="0" w:color="auto"/>
              <w:bottom w:val="single" w:sz="4" w:space="0" w:color="auto"/>
              <w:right w:val="single" w:sz="4" w:space="0" w:color="auto"/>
            </w:tcBorders>
          </w:tcPr>
          <w:p w14:paraId="7B8D6ACA"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5</w:t>
            </w:r>
          </w:p>
        </w:tc>
        <w:tc>
          <w:tcPr>
            <w:tcW w:w="2519" w:type="dxa"/>
            <w:tcBorders>
              <w:top w:val="single" w:sz="4" w:space="0" w:color="auto"/>
              <w:left w:val="single" w:sz="4" w:space="0" w:color="auto"/>
              <w:bottom w:val="single" w:sz="4" w:space="0" w:color="auto"/>
              <w:right w:val="single" w:sz="4" w:space="0" w:color="auto"/>
            </w:tcBorders>
          </w:tcPr>
          <w:p w14:paraId="7B46C8C8" w14:textId="77777777" w:rsidR="00145482" w:rsidRPr="00B1399D" w:rsidRDefault="00145482" w:rsidP="009D6CB1">
            <w:pPr>
              <w:spacing w:before="120"/>
              <w:rPr>
                <w:rFonts w:ascii="Poppins" w:hAnsi="Poppins" w:cs="Poppins"/>
                <w:color w:val="000000"/>
                <w:sz w:val="18"/>
                <w:szCs w:val="18"/>
              </w:rPr>
            </w:pPr>
            <w:r w:rsidRPr="00B1399D">
              <w:rPr>
                <w:rFonts w:ascii="Poppins" w:hAnsi="Poppins" w:cs="Poppins"/>
                <w:color w:val="000000"/>
                <w:sz w:val="18"/>
                <w:szCs w:val="18"/>
              </w:rPr>
              <w:t>Gmina Gorzów Wlkp.</w:t>
            </w:r>
          </w:p>
        </w:tc>
        <w:tc>
          <w:tcPr>
            <w:tcW w:w="851" w:type="dxa"/>
            <w:tcBorders>
              <w:top w:val="single" w:sz="4" w:space="0" w:color="auto"/>
              <w:left w:val="single" w:sz="4" w:space="0" w:color="auto"/>
              <w:bottom w:val="single" w:sz="4" w:space="0" w:color="auto"/>
              <w:right w:val="single" w:sz="4" w:space="0" w:color="auto"/>
            </w:tcBorders>
            <w:vAlign w:val="center"/>
          </w:tcPr>
          <w:p w14:paraId="6591952B" w14:textId="77777777" w:rsidR="00145482" w:rsidRPr="00B1399D" w:rsidRDefault="00145482" w:rsidP="009D6CB1">
            <w:pPr>
              <w:spacing w:before="120"/>
              <w:jc w:val="center"/>
              <w:rPr>
                <w:rFonts w:ascii="Poppins" w:hAnsi="Poppins" w:cs="Poppins"/>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D147DD9" w14:textId="77777777" w:rsidR="00145482" w:rsidRPr="00B1399D" w:rsidRDefault="00145482" w:rsidP="009D6CB1">
            <w:pPr>
              <w:spacing w:before="120"/>
              <w:jc w:val="center"/>
              <w:rPr>
                <w:rFonts w:ascii="Poppins" w:hAnsi="Poppins" w:cs="Poppins"/>
                <w:color w:val="000000"/>
                <w:sz w:val="18"/>
                <w:szCs w:val="18"/>
              </w:rPr>
            </w:pPr>
            <w:r w:rsidRPr="00B1399D">
              <w:rPr>
                <w:rFonts w:ascii="Poppins" w:hAnsi="Poppins" w:cs="Poppins"/>
                <w:color w:val="000000"/>
                <w:sz w:val="18"/>
                <w:szCs w:val="18"/>
              </w:rPr>
              <w:t>50,73</w:t>
            </w:r>
          </w:p>
        </w:tc>
        <w:tc>
          <w:tcPr>
            <w:tcW w:w="1559" w:type="dxa"/>
            <w:vAlign w:val="center"/>
          </w:tcPr>
          <w:p w14:paraId="362C9E89"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68CACA27" w14:textId="77777777" w:rsidR="00145482" w:rsidRPr="00B1399D" w:rsidRDefault="00145482" w:rsidP="009D6CB1">
            <w:pPr>
              <w:spacing w:line="276" w:lineRule="auto"/>
              <w:jc w:val="center"/>
              <w:rPr>
                <w:rFonts w:ascii="Poppins" w:hAnsi="Poppins" w:cs="Poppins"/>
                <w:color w:val="000000"/>
                <w:sz w:val="18"/>
                <w:szCs w:val="18"/>
              </w:rPr>
            </w:pPr>
          </w:p>
        </w:tc>
        <w:tc>
          <w:tcPr>
            <w:tcW w:w="1843" w:type="dxa"/>
            <w:vAlign w:val="center"/>
          </w:tcPr>
          <w:p w14:paraId="46BA38F2" w14:textId="77777777" w:rsidR="00145482" w:rsidRPr="00B1399D" w:rsidRDefault="00145482" w:rsidP="009D6CB1">
            <w:pPr>
              <w:spacing w:line="276" w:lineRule="auto"/>
              <w:jc w:val="center"/>
              <w:rPr>
                <w:rFonts w:ascii="Poppins" w:hAnsi="Poppins" w:cs="Poppins"/>
                <w:color w:val="000000"/>
                <w:sz w:val="18"/>
                <w:szCs w:val="18"/>
              </w:rPr>
            </w:pPr>
          </w:p>
        </w:tc>
      </w:tr>
    </w:tbl>
    <w:p w14:paraId="6634BA5C" w14:textId="77777777" w:rsidR="008874B0" w:rsidRPr="00D4329F" w:rsidRDefault="008874B0" w:rsidP="008874B0">
      <w:pPr>
        <w:adjustRightInd w:val="0"/>
        <w:spacing w:after="0" w:line="240" w:lineRule="auto"/>
        <w:jc w:val="both"/>
        <w:rPr>
          <w:rFonts w:ascii="Poppins" w:hAnsi="Poppins" w:cs="Poppins"/>
          <w:b/>
          <w:sz w:val="18"/>
          <w:szCs w:val="18"/>
        </w:rPr>
      </w:pPr>
    </w:p>
    <w:sectPr w:rsidR="008874B0" w:rsidRPr="00D4329F" w:rsidSect="00211CEC">
      <w:footerReference w:type="default" r:id="rId7"/>
      <w:headerReference w:type="first" r:id="rId8"/>
      <w:footerReference w:type="first" r:id="rId9"/>
      <w:pgSz w:w="11906" w:h="16838"/>
      <w:pgMar w:top="284" w:right="1440" w:bottom="284" w:left="144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DA291" w14:textId="77777777" w:rsidR="000D01EC" w:rsidRDefault="000D01EC">
      <w:pPr>
        <w:spacing w:after="0" w:line="240" w:lineRule="auto"/>
      </w:pPr>
      <w:r>
        <w:separator/>
      </w:r>
    </w:p>
  </w:endnote>
  <w:endnote w:type="continuationSeparator" w:id="0">
    <w:p w14:paraId="58C1650D" w14:textId="77777777" w:rsidR="000D01EC" w:rsidRDefault="000D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lang w:eastAsia="pl-PL"/>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lang w:eastAsia="pl-PL"/>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rsidP="00211CE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FCFD8" w14:textId="77777777" w:rsidR="000D01EC" w:rsidRDefault="000D01EC">
      <w:pPr>
        <w:spacing w:after="0" w:line="240" w:lineRule="auto"/>
      </w:pPr>
      <w:r>
        <w:separator/>
      </w:r>
    </w:p>
  </w:footnote>
  <w:footnote w:type="continuationSeparator" w:id="0">
    <w:p w14:paraId="49E8B963" w14:textId="77777777" w:rsidR="000D01EC" w:rsidRDefault="000D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lang w:eastAsia="pl-PL"/>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C70583"/>
    <w:multiLevelType w:val="hybridMultilevel"/>
    <w:tmpl w:val="316ECE28"/>
    <w:lvl w:ilvl="0" w:tplc="7076E90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3BA207FD"/>
    <w:multiLevelType w:val="hybridMultilevel"/>
    <w:tmpl w:val="CEDAF986"/>
    <w:lvl w:ilvl="0" w:tplc="35320EE8">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C6D6616"/>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5BFC12B3"/>
    <w:multiLevelType w:val="hybridMultilevel"/>
    <w:tmpl w:val="50182AB4"/>
    <w:lvl w:ilvl="0" w:tplc="AAA623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A486C45"/>
    <w:multiLevelType w:val="hybridMultilevel"/>
    <w:tmpl w:val="6338D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054633">
    <w:abstractNumId w:val="0"/>
  </w:num>
  <w:num w:numId="2" w16cid:durableId="822084995">
    <w:abstractNumId w:val="3"/>
  </w:num>
  <w:num w:numId="3" w16cid:durableId="1012801616">
    <w:abstractNumId w:val="1"/>
  </w:num>
  <w:num w:numId="4" w16cid:durableId="1975793720">
    <w:abstractNumId w:val="5"/>
  </w:num>
  <w:num w:numId="5" w16cid:durableId="212011207">
    <w:abstractNumId w:val="2"/>
  </w:num>
  <w:num w:numId="6" w16cid:durableId="799374711">
    <w:abstractNumId w:val="6"/>
  </w:num>
  <w:num w:numId="7" w16cid:durableId="20530695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60C5C"/>
    <w:rsid w:val="000D01EC"/>
    <w:rsid w:val="000E25EC"/>
    <w:rsid w:val="000E6718"/>
    <w:rsid w:val="000F4115"/>
    <w:rsid w:val="001056D2"/>
    <w:rsid w:val="00120AE2"/>
    <w:rsid w:val="00145482"/>
    <w:rsid w:val="00166B63"/>
    <w:rsid w:val="00193BA6"/>
    <w:rsid w:val="001A7DDD"/>
    <w:rsid w:val="001E566E"/>
    <w:rsid w:val="0021008A"/>
    <w:rsid w:val="00211CEC"/>
    <w:rsid w:val="00274483"/>
    <w:rsid w:val="002769DD"/>
    <w:rsid w:val="00280E04"/>
    <w:rsid w:val="002D2D6B"/>
    <w:rsid w:val="00307FB0"/>
    <w:rsid w:val="00335DD8"/>
    <w:rsid w:val="00341750"/>
    <w:rsid w:val="00350574"/>
    <w:rsid w:val="00384414"/>
    <w:rsid w:val="003C0B14"/>
    <w:rsid w:val="00417903"/>
    <w:rsid w:val="00417D45"/>
    <w:rsid w:val="00443F55"/>
    <w:rsid w:val="00475C77"/>
    <w:rsid w:val="005127F0"/>
    <w:rsid w:val="00526E96"/>
    <w:rsid w:val="0053044F"/>
    <w:rsid w:val="00566C95"/>
    <w:rsid w:val="00575F80"/>
    <w:rsid w:val="005B370B"/>
    <w:rsid w:val="005E4198"/>
    <w:rsid w:val="005F67DD"/>
    <w:rsid w:val="005F72D8"/>
    <w:rsid w:val="006110B5"/>
    <w:rsid w:val="006332C4"/>
    <w:rsid w:val="00643C4F"/>
    <w:rsid w:val="0064636A"/>
    <w:rsid w:val="006758DC"/>
    <w:rsid w:val="00675F0C"/>
    <w:rsid w:val="006D3909"/>
    <w:rsid w:val="00740EAD"/>
    <w:rsid w:val="0075029C"/>
    <w:rsid w:val="00764244"/>
    <w:rsid w:val="00767145"/>
    <w:rsid w:val="00794D88"/>
    <w:rsid w:val="007A3469"/>
    <w:rsid w:val="007B56F5"/>
    <w:rsid w:val="007D7FCB"/>
    <w:rsid w:val="007F2F5F"/>
    <w:rsid w:val="00854006"/>
    <w:rsid w:val="008874B0"/>
    <w:rsid w:val="008B4A86"/>
    <w:rsid w:val="008D3FEC"/>
    <w:rsid w:val="00900423"/>
    <w:rsid w:val="009102E6"/>
    <w:rsid w:val="0092452F"/>
    <w:rsid w:val="009539D8"/>
    <w:rsid w:val="009A64F8"/>
    <w:rsid w:val="009B7091"/>
    <w:rsid w:val="00A34483"/>
    <w:rsid w:val="00A45353"/>
    <w:rsid w:val="00A71B15"/>
    <w:rsid w:val="00AC57D1"/>
    <w:rsid w:val="00AE00F5"/>
    <w:rsid w:val="00B20EAD"/>
    <w:rsid w:val="00B61D0B"/>
    <w:rsid w:val="00BA75BB"/>
    <w:rsid w:val="00C320CA"/>
    <w:rsid w:val="00C43100"/>
    <w:rsid w:val="00C50634"/>
    <w:rsid w:val="00C7032C"/>
    <w:rsid w:val="00C87792"/>
    <w:rsid w:val="00CB672B"/>
    <w:rsid w:val="00CB734A"/>
    <w:rsid w:val="00D164B9"/>
    <w:rsid w:val="00D4329F"/>
    <w:rsid w:val="00D91E8C"/>
    <w:rsid w:val="00E00B63"/>
    <w:rsid w:val="00E0466D"/>
    <w:rsid w:val="00E203E3"/>
    <w:rsid w:val="00E956D4"/>
    <w:rsid w:val="00EC2D91"/>
    <w:rsid w:val="00ED1223"/>
    <w:rsid w:val="00F14E08"/>
    <w:rsid w:val="00F9744C"/>
    <w:rsid w:val="00FD02E4"/>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F6D6EE0-1963-48D1-A4D2-1943E1F4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aliases w:val="L1,Numerowanie,2 heading,A_wyliczenie,K-P_odwolanie,Akapit z listą5,maz_wyliczenie,opis dzialania,Preambuła,T_SZ_List Paragraph,normalny tekst"/>
    <w:basedOn w:val="Normalny"/>
    <w:link w:val="AkapitzlistZnak"/>
    <w:uiPriority w:val="34"/>
    <w:qFormat/>
    <w:rsid w:val="0075029C"/>
    <w:pPr>
      <w:ind w:left="720"/>
      <w:contextualSpacing/>
    </w:pPr>
  </w:style>
  <w:style w:type="character" w:styleId="Hipercze">
    <w:name w:val="Hyperlink"/>
    <w:basedOn w:val="Domylnaczcionkaakapitu"/>
    <w:uiPriority w:val="99"/>
    <w:rsid w:val="009A64F8"/>
    <w:rPr>
      <w:rFonts w:cs="Times New Roman"/>
      <w:color w:val="0000FF"/>
      <w:u w:val="single"/>
    </w:rPr>
  </w:style>
  <w:style w:type="character" w:customStyle="1" w:styleId="AkapitzlistZnak">
    <w:name w:val="Akapit z listą Znak"/>
    <w:aliases w:val="L1 Znak,Numerowanie Znak,2 heading Znak,A_wyliczenie Znak,K-P_odwolanie Znak,Akapit z listą5 Znak,maz_wyliczenie Znak,opis dzialania Znak,Preambuła Znak,T_SZ_List Paragraph Znak,normalny tekst Znak"/>
    <w:link w:val="Akapitzlist"/>
    <w:uiPriority w:val="34"/>
    <w:qFormat/>
    <w:locked/>
    <w:rsid w:val="009A64F8"/>
  </w:style>
  <w:style w:type="paragraph" w:customStyle="1" w:styleId="Akapitzlist1">
    <w:name w:val="Akapit z listą1"/>
    <w:aliases w:val="Eko punkty,podpunkt"/>
    <w:basedOn w:val="Normalny"/>
    <w:link w:val="ListParagraphChar"/>
    <w:qFormat/>
    <w:rsid w:val="009A64F8"/>
    <w:pPr>
      <w:spacing w:line="256" w:lineRule="auto"/>
      <w:ind w:left="720"/>
      <w:contextualSpacing/>
    </w:pPr>
    <w:rPr>
      <w:rFonts w:ascii="Calibri" w:eastAsiaTheme="minorEastAsia" w:hAnsi="Calibri" w:cs="Calibri"/>
      <w:sz w:val="22"/>
      <w:szCs w:val="22"/>
    </w:rPr>
  </w:style>
  <w:style w:type="character" w:customStyle="1" w:styleId="ListParagraphChar">
    <w:name w:val="List Paragraph Char"/>
    <w:aliases w:val="Eko punkty Char,podpunkt Char"/>
    <w:link w:val="Akapitzlist1"/>
    <w:locked/>
    <w:rsid w:val="009A64F8"/>
    <w:rPr>
      <w:rFonts w:ascii="Calibri" w:eastAsiaTheme="minorEastAsia" w:hAnsi="Calibri" w:cs="Calibri"/>
      <w:sz w:val="22"/>
      <w:szCs w:val="22"/>
    </w:rPr>
  </w:style>
  <w:style w:type="paragraph" w:styleId="Tekstpodstawowy3">
    <w:name w:val="Body Text 3"/>
    <w:basedOn w:val="Normalny"/>
    <w:link w:val="Tekstpodstawowy3Znak"/>
    <w:unhideWhenUsed/>
    <w:rsid w:val="00C87792"/>
    <w:pPr>
      <w:spacing w:after="120" w:line="240" w:lineRule="auto"/>
    </w:pPr>
    <w:rPr>
      <w:rFonts w:ascii="Arial" w:eastAsia="Times New Roman" w:hAnsi="Arial" w:cs="Times New Roman"/>
      <w:color w:val="000000"/>
      <w:kern w:val="22"/>
      <w:sz w:val="16"/>
      <w:szCs w:val="16"/>
      <w:lang w:val="x-none" w:eastAsia="x-none"/>
    </w:rPr>
  </w:style>
  <w:style w:type="character" w:customStyle="1" w:styleId="Tekstpodstawowy3Znak">
    <w:name w:val="Tekst podstawowy 3 Znak"/>
    <w:basedOn w:val="Domylnaczcionkaakapitu"/>
    <w:link w:val="Tekstpodstawowy3"/>
    <w:rsid w:val="00C87792"/>
    <w:rPr>
      <w:rFonts w:ascii="Arial" w:eastAsia="Times New Roman" w:hAnsi="Arial" w:cs="Times New Roman"/>
      <w:color w:val="000000"/>
      <w:kern w:val="22"/>
      <w:sz w:val="16"/>
      <w:szCs w:val="16"/>
      <w:lang w:val="x-none" w:eastAsia="x-none"/>
    </w:rPr>
  </w:style>
  <w:style w:type="paragraph" w:customStyle="1" w:styleId="WW-Zawartotabeli1">
    <w:name w:val="WW-Zawartość tabeli1"/>
    <w:basedOn w:val="Tekstpodstawowy"/>
    <w:rsid w:val="00B61D0B"/>
    <w:pPr>
      <w:suppressLineNumbers/>
      <w:suppressAutoHyphens/>
      <w:spacing w:line="240" w:lineRule="auto"/>
    </w:pPr>
    <w:rPr>
      <w:rFonts w:ascii="Times New Roman" w:eastAsia="Times New Roman" w:hAnsi="Times New Roman" w:cs="Times New Roman"/>
      <w:sz w:val="20"/>
      <w:szCs w:val="20"/>
      <w:lang w:eastAsia="pl-PL"/>
    </w:rPr>
  </w:style>
  <w:style w:type="paragraph" w:customStyle="1" w:styleId="WW-Nagwektabeli1">
    <w:name w:val="WW-Nagłówek tabeli1"/>
    <w:basedOn w:val="WW-Zawartotabeli1"/>
    <w:rsid w:val="00B61D0B"/>
    <w:pPr>
      <w:jc w:val="center"/>
    </w:pPr>
    <w:rPr>
      <w:b/>
      <w:bCs/>
      <w:i/>
      <w:iCs/>
    </w:rPr>
  </w:style>
  <w:style w:type="paragraph" w:styleId="Tekstpodstawowy">
    <w:name w:val="Body Text"/>
    <w:basedOn w:val="Normalny"/>
    <w:link w:val="TekstpodstawowyZnak"/>
    <w:uiPriority w:val="99"/>
    <w:semiHidden/>
    <w:unhideWhenUsed/>
    <w:rsid w:val="00B61D0B"/>
    <w:pPr>
      <w:spacing w:after="120"/>
    </w:pPr>
  </w:style>
  <w:style w:type="character" w:customStyle="1" w:styleId="TekstpodstawowyZnak">
    <w:name w:val="Tekst podstawowy Znak"/>
    <w:basedOn w:val="Domylnaczcionkaakapitu"/>
    <w:link w:val="Tekstpodstawowy"/>
    <w:uiPriority w:val="99"/>
    <w:semiHidden/>
    <w:rsid w:val="00B61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4972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Katarzyna Folińska</cp:lastModifiedBy>
  <cp:revision>2</cp:revision>
  <cp:lastPrinted>2025-12-04T09:39:00Z</cp:lastPrinted>
  <dcterms:created xsi:type="dcterms:W3CDTF">2026-01-14T14:26:00Z</dcterms:created>
  <dcterms:modified xsi:type="dcterms:W3CDTF">2026-01-14T14:26:00Z</dcterms:modified>
</cp:coreProperties>
</file>